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新兴经济体的货币政策周期性</w:t>
      </w:r>
    </w:p>
    <w:p>
      <w:pPr>
        <w:pStyle w:val="cn"/>
        <w:jc w:val="center"/>
      </w:pPr>
      <w:r>
        <w:t>作者:Pierre De Leo, Gita Gopinath, Ṣebnem Kalemli-Özcan</w:t>
      </w:r>
    </w:p>
    <w:p>
      <w:pPr>
        <w:pStyle w:val="cn"/>
        <w:ind w:firstLine="420"/>
        <w:jc w:val="left"/>
      </w:pPr>
      <w:r>
        <w:t>传统观点认为，与发达经济体不同，新兴经济体的货币政策是顺周期的。从20世纪90年代中期开始，我们对大量国家进行了抽样调查，结果表明，这两类国家的货币政策行为并无根本区别。当经济活动减速时，新兴经济体和发达经济体都会无条件地降低政策利率，无论是在美国实施外源性货币政策紧缩之后。我们表明，使用市场利率（如政府债券利率）来代表货币政策立场的常见做法导致人们对新兴经济体的货币政策周期性得出不准确的结论，因为这些市场利率存在固有的风险溢价。</w:t>
      </w:r>
    </w:p>
    <w:p/>
    <w:p>
      <w:pPr>
        <w:pStyle w:val="cn"/>
        <w:jc w:val="left"/>
      </w:pPr>
      <w:r>
        <w:rPr>
          <w:b/>
        </w:rPr>
        <w:t>原文链接:</w:t>
        <w:br/>
      </w:r>
      <w:hyperlink r:id="rId9">
        <w:r>
          <w:rPr>
            <w:color w:val="0000FF"/>
            <w:u w:val="single"/>
          </w:rPr>
          <w:t>https://www.nber.org/papers/w30458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