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是什么驱动了移民带来的危险处方阿片类药物使用证据</w:t>
      </w:r>
    </w:p>
    <w:p>
      <w:pPr>
        <w:pStyle w:val="cn"/>
        <w:jc w:val="center"/>
      </w:pPr>
      <w:r>
        <w:t>作者:Amy Finkelstein, Matthew Gentzkow, Dean Li, Heidi L. Williams</w:t>
      </w:r>
    </w:p>
    <w:p>
      <w:pPr>
        <w:pStyle w:val="cn"/>
        <w:ind w:firstLine="420"/>
        <w:jc w:val="left"/>
      </w:pPr>
      <w:r>
        <w:t>我们通过开发和评估风险处方阿片类药物使用的动态模型，研究人和场所特定因素在阿片类药流行中的作用。我们使用2006年至2015年接受联邦残疾保险的成年人中跨州迁移和风险使用之间的关系来估计该模型。事件研究表明，迁移到风险使用率高3.5个百分点的州（大约是第20和第80百分位州之间的差异）会使风险使用的概率增加1.0个百分点，随后每年增加0.30个百分点。模型估计表明，在向成瘾过渡的可能性和处方阿片类药物的可用性方面存在很大的地方效应。在我们的研究期间，所有地方效应中减少一个标准差将减少三分之二的风险使用。减少对成瘾的就地影响比减少对可用性的就地影响具有更大的累积效应。然而，在最初几年，它们的相对效力发生了逆转，这表明政策选项之间存在暂时的权衡。</w:t>
      </w:r>
    </w:p>
    <w:p/>
    <w:p>
      <w:pPr>
        <w:pStyle w:val="cn"/>
        <w:jc w:val="left"/>
      </w:pPr>
      <w:r>
        <w:rPr>
          <w:b/>
        </w:rPr>
        <w:t>原文链接:</w:t>
        <w:br/>
      </w:r>
      <w:hyperlink r:id="rId9">
        <w:r>
          <w:rPr>
            <w:color w:val="0000FF"/>
            <w:u w:val="single"/>
          </w:rPr>
          <w:t>https://www.nber.org/papers/w30471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