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气候风险与外国直接投资</w:t>
      </w:r>
    </w:p>
    <w:p>
      <w:pPr>
        <w:pStyle w:val="cn"/>
        <w:jc w:val="center"/>
      </w:pPr>
      <w:r>
        <w:t>作者:Grace Weishi Gu, Galina Hale</w:t>
      </w:r>
    </w:p>
    <w:p>
      <w:pPr>
        <w:pStyle w:val="cn"/>
        <w:ind w:firstLine="420"/>
        <w:jc w:val="left"/>
      </w:pPr>
      <w:r>
        <w:t>近几十年来，与气候相关的风险在极端天气事件的频率（物理风险）和气候变化缓解政策的实施（过渡风险）方面都有所增加。本文探讨了跨国公司是否通过改变其在受影响更大的国家的存在来应对此类风险。我们通过考察不同聚集水平和企业水平的外国直接投资（FDI）动态来衡量这一点。我们提出了一个企业生产地点选择的理论框架，该框架明确地结合了过渡和物理风险。该模型预测了实体风险和转型风险导致的外国直接投资减少，但这些风险与企业排放生产率之间的相互作用不明确。在广泛的实证分析中，我们发现模型预测有一定的支持，但总体而言，我们没有找到一致的证据证明物理和过渡风险对FDI的统计显著影响。然而，公司层面的证据表明，在《巴黎气候协议》之后，更容易受到气候风险影响的公司对实际气候风险的反应更为消极。我们还发现，对于排放生产率较高的行业而言，受影响国家极端天气事件后的FDI外流较小。我们的理论和实证结果表明，在分析气候风险的影响时，必须考虑排放生产率的异质性。</w:t>
      </w:r>
    </w:p>
    <w:p/>
    <w:p>
      <w:pPr>
        <w:pStyle w:val="cn"/>
        <w:jc w:val="left"/>
      </w:pPr>
      <w:r>
        <w:rPr>
          <w:b/>
        </w:rPr>
        <w:t>原文链接:</w:t>
        <w:br/>
      </w:r>
      <w:hyperlink r:id="rId9">
        <w:r>
          <w:rPr>
            <w:color w:val="0000FF"/>
            <w:u w:val="single"/>
          </w:rPr>
          <w:t>https://www.nber.org/papers/w30452</w:t>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n">
    <w:name w:val="cn"/>
    <w:rPr>
      <w:rFonts w:ascii="微软雅黑" w:hAnsi="微软雅黑" w:eastAsia="微软雅黑"/>
      <w:sz w:val="2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papers/w3045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