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物理气候风险是来自热应激暴露的区域变化的证据吗</w:t>
      </w:r>
    </w:p>
    <w:p>
      <w:pPr>
        <w:pStyle w:val="cn"/>
        <w:jc w:val="center"/>
      </w:pPr>
      <w:r>
        <w:t>作者:Viral V. Acharya, Timothy Johnson, Suresh Sundaresan, Tuomas Tomunen</w:t>
      </w:r>
    </w:p>
    <w:p>
      <w:pPr>
        <w:pStyle w:val="cn"/>
        <w:ind w:firstLine="420"/>
        <w:jc w:val="left"/>
      </w:pPr>
      <w:r>
        <w:t>我们利用热应激暴露的地区差异来研究是否在市政债券和公司债券以及股票市场中对物理气候风险进行定价。我们发现，与相当于GDP 1%的热应力相关的局部损害风险与市政债券收益率利差相关，该利差每年高出约15个基点（bps），对长期、纯收入和低评级债券的影响更大，主要是由于能源支出的预期增加和劳动生产率的下降。在标普500指数公司中，热应力风险的一个标准差增加与次级投资级公司债券的收益率利差高出约40个基点、投资级债券利差几乎没有影响以及股票的有条件预期收益率高出约45个基点有关。这些结果（i）仅在2013-15年才得到有力的观察，（ii）除了暴露于热应激之外，大部分没有物理风险，以及（iii）与气候变化对总消费产生直接和巨大负面影响的宏观经济模型类别相一致。</w:t>
      </w:r>
    </w:p>
    <w:p/>
    <w:p>
      <w:pPr>
        <w:pStyle w:val="cn"/>
        <w:jc w:val="left"/>
      </w:pPr>
      <w:r>
        <w:rPr>
          <w:b/>
        </w:rPr>
        <w:t>原文链接:</w:t>
        <w:br/>
      </w:r>
      <w:hyperlink r:id="rId9">
        <w:r>
          <w:rPr>
            <w:color w:val="0000FF"/>
            <w:u w:val="single"/>
          </w:rPr>
          <w:t>https://www.nber.org/papers/w30445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