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现买后付信用卡用户特征及其对消费模式的影响</w:t>
      </w:r>
    </w:p>
    <w:p>
      <w:pPr>
        <w:pStyle w:val="cn"/>
        <w:jc w:val="center"/>
      </w:pPr>
      <w:r>
        <w:t>作者:Marco Di Maggio, Emily Williams, Justin Katz</w:t>
      </w:r>
    </w:p>
    <w:p>
      <w:pPr>
        <w:pStyle w:val="cn"/>
        <w:ind w:firstLine="420"/>
        <w:jc w:val="left"/>
      </w:pPr>
      <w:r>
        <w:t>提供“先买后付”（BNPL）、最低承销和低利息的销售点分期贷款的公司在短期无担保消费信贷市场中占据了越来越大的份额。我们通过从交易层面的数据构建一个庞大的BNPL用户小组，详细了解美国BNPL市场。我们记录了用户的特征和使用模式，并使用BNPL推出来为消费者对无担保信贷访问的反应提供新的见解。BNPL的获得增加了总支出水平和零售在总支出中的份额，其幅度太大，无法解释标准的跨期和静态替代效应。这些发现适用于有或没有推断流动性约束的消费者。我们的研究结果更符合“流动性飞纸效应”，即通过BNPL的额外零售流动性“到达哪里”，而不是具有流动性约束的标准生命周期模型。</w:t>
      </w:r>
    </w:p>
    <w:p/>
    <w:p>
      <w:pPr>
        <w:pStyle w:val="cn"/>
        <w:jc w:val="left"/>
      </w:pPr>
      <w:r>
        <w:rPr>
          <w:b/>
        </w:rPr>
        <w:t>原文链接:</w:t>
        <w:br/>
      </w:r>
      <w:hyperlink r:id="rId9">
        <w:r>
          <w:rPr>
            <w:color w:val="0000FF"/>
            <w:u w:val="single"/>
          </w:rPr>
          <w:t>https://www.nber.org/papers/w30508</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