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生产网络中的尾部风险</w:t>
      </w:r>
    </w:p>
    <w:p>
      <w:pPr>
        <w:pStyle w:val="cn"/>
        <w:jc w:val="center"/>
      </w:pPr>
      <w:r>
        <w:t>作者:Ian Dew-Becker</w:t>
      </w:r>
    </w:p>
    <w:p>
      <w:pPr>
        <w:pStyle w:val="cn"/>
        <w:ind w:firstLine="420"/>
        <w:jc w:val="left"/>
      </w:pPr>
      <w:r>
        <w:t>本文描述了非线性生产网络中经济对大冲击的反应。尽管可以研究冲击的任意组合，但它关注的是一个部门的尾部中心性，它量化了一个大的负面冲击对该部门的影响——衡量每个部门的系统性风险。尾部中心性在理论上和经验上都与销售份额等地方中心性指标有很大不同——在基准情况下，它被衡量为一个部门下游与最终产量的平均接近度。然后，本文利用这些结果分析了经济中总尾部风险的决定因素。在互补性存在的情况下，相互联系的增加可以同时降低经济对小冲击的敏感性，同时增加对大冲击的敏感性。尾部风险在表现出条件粒度的经济体中最为强烈，其中一些部门在负面冲击后变得极具影响力。</w:t>
      </w:r>
    </w:p>
    <w:p/>
    <w:p>
      <w:pPr>
        <w:pStyle w:val="cn"/>
        <w:jc w:val="left"/>
      </w:pPr>
      <w:r>
        <w:rPr>
          <w:b/>
        </w:rPr>
        <w:t>原文链接:</w:t>
        <w:br/>
      </w:r>
      <w:hyperlink r:id="rId9">
        <w:r>
          <w:rPr>
            <w:color w:val="0000FF"/>
            <w:u w:val="single"/>
          </w:rPr>
          <w:t>https://www.nber.org/papers/w30479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