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确定官方资金流对价格影响的美元储备和美国收益率</w:t>
      </w:r>
    </w:p>
    <w:p>
      <w:pPr>
        <w:pStyle w:val="cn"/>
        <w:jc w:val="center"/>
      </w:pPr>
      <w:r>
        <w:t>作者:Rashad Ahmed, Alessandro Rebucci</w:t>
      </w:r>
    </w:p>
    <w:p>
      <w:pPr>
        <w:pStyle w:val="cn"/>
        <w:ind w:firstLine="420"/>
        <w:jc w:val="left"/>
      </w:pPr>
      <w:r>
        <w:t>本文表明，一旦内生性的关键来源得到解决，外国官方购买或出售美国国债的价格影响大约是文献中先前报告的两倍。我们还表明，当外国政府债券收益率和美联储政策不受控制时，这种价格影响的普遍估计会受到忽略的变量偏差的影响。通过利用2008年全球金融危机后FO流量和美国收益率波动性的变化，我们通过结构VAR中的异方差来识别FO流量冲击。我们估计，1000亿美元的流量冲击将5年期、10年期和30年期收益率的影响移动了100多个基点，相比之下，我们通过假设FO流动是价格非弹性的，并且没有控制外国收益率和美联储的行动来估计19-44个基点的范围。我们的研究结果表明，在2020年3月美国国债市场动荡期间，出售美国国债起到了至关重要的作用，即使美元在中国外汇储备中所占份额略有下降，也可能对美国长期利率产生重大影响。</w:t>
      </w:r>
    </w:p>
    <w:p/>
    <w:p>
      <w:pPr>
        <w:pStyle w:val="cn"/>
        <w:jc w:val="left"/>
      </w:pPr>
      <w:r>
        <w:rPr>
          <w:b/>
        </w:rPr>
        <w:t>原文链接:</w:t>
        <w:br/>
      </w:r>
      <w:hyperlink r:id="rId9">
        <w:r>
          <w:rPr>
            <w:color w:val="0000FF"/>
            <w:u w:val="single"/>
          </w:rPr>
          <w:t>https://www.nber.org/papers/w30476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