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社会保障是奢侈品吗</w:t>
      </w:r>
    </w:p>
    <w:p>
      <w:pPr>
        <w:pStyle w:val="cn"/>
        <w:jc w:val="center"/>
      </w:pPr>
      <w:r>
        <w:t>作者:Michael Lokshin, Martin Ravallion, Iván Torre</w:t>
      </w:r>
    </w:p>
    <w:p>
      <w:pPr>
        <w:pStyle w:val="cn"/>
        <w:ind w:firstLine="420"/>
        <w:jc w:val="left"/>
      </w:pPr>
      <w:r>
        <w:t>社会保护是一种奢侈品，国民收入弹性超过统一，这一说法也颇具影响力。该论文使用自1995年以来各国社会保护支出的最新数据，对“奢侈品好假设”进行了检验，将大流行时期分开对待，因为这意味着社会保护努力的大幅扩张。虽然用于社会保护的平均收入份额随着收入的增加而增加，但这归因于多种混杂因素，包括相对价格、低收入国家治理薄弱以及信息通信技术的获取。控制这些，社会保护不是奢侈品。在大流行期间也是如此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https://www.nber.org/papers/w30484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