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管理公共投资组合</w:t>
      </w:r>
    </w:p>
    <w:p>
      <w:pPr>
        <w:pStyle w:val="cn"/>
        <w:jc w:val="center"/>
      </w:pPr>
      <w:r>
        <w:t>作者:Leo R. Aparisi de Lannoy, Anmol Bhandari, David Evans, Mikhail Golosov, Thomas J. Sargent</w:t>
      </w:r>
    </w:p>
    <w:p>
      <w:pPr>
        <w:pStyle w:val="cn"/>
        <w:ind w:firstLine="420"/>
        <w:jc w:val="left"/>
      </w:pPr>
      <w:r>
        <w:t>我们为一类宏观金融模型开发了一个统一的公共投资组合优化管理框架，其中包括广泛使用的家庭风险和流动性偏好规范、金融资产市场结构以及交易摩擦。一个最优的投资组合可以对冲利率、主要盈余、流动性和不平等的波动。它认识到政府债务提供的流动性利益，并将公共政策对金融资产价格的均衡效应内化。我们用统计数据来表示最优投资组合，这些数据仅是宏观和金融市场数据的函数。美国的一个应用表明，对冲利率风险在形成政府债务的最优到期结构方面发挥着主导作用。</w:t>
      </w:r>
    </w:p>
    <w:p/>
    <w:p>
      <w:pPr>
        <w:pStyle w:val="cn"/>
        <w:jc w:val="left"/>
      </w:pPr>
      <w:r>
        <w:rPr>
          <w:b/>
        </w:rPr>
        <w:t>原文链接:</w:t>
        <w:br/>
      </w:r>
      <w:hyperlink r:id="rId9">
        <w:r>
          <w:rPr>
            <w:color w:val="0000FF"/>
            <w:u w:val="single"/>
          </w:rPr>
          <w:t>https://www.nber.org/papers/w30501</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