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美国制造业对电价上涨的反应——来自州一级可再生能源投资组合标准的证据</w:t>
      </w:r>
    </w:p>
    <w:p>
      <w:pPr>
        <w:pStyle w:val="cn"/>
        <w:jc w:val="center"/>
      </w:pPr>
      <w:r>
        <w:t>作者:Ann Wolverton, Ronald Shadbegian, Wayne B. Gray</w:t>
      </w:r>
    </w:p>
    <w:p>
      <w:pPr>
        <w:pStyle w:val="cn"/>
        <w:ind w:firstLine="420"/>
        <w:jc w:val="left"/>
      </w:pPr>
      <w:r>
        <w:t>虽然有几篇论文研究了可再生能源组合标准（RPS）对电价的影响，但它们主要依赖于州一级的数据，而且很少有研究表明RPS政策如何通过其对电价的作用影响制造业活动。使用1992-2015年整个美国制造业和所有电力公用事业的工厂级数据，我们共同估计了RPS的采用和严格程度对工厂级电价和生产决策的影响。为了确保我们的结果对RPS和非RPS状态下制造厂之间可能存在的差异不敏感，我们实施了粗化精确协变量匹配。我们的结果表明，RPS州的发电厂电价平均比非RPS州高2%左右，明显低于基于州级数据的先前估计。为了应对这些较高的电价，我们估计，所有工厂的工厂用电量下降了1.2%，能源密集型工厂的用电量下降1.8%，这与已公布的工业用户电力需求弹性估计大致一致。我们发现产出、就业和工作时间的下降幅度较小（相对于用电量的下降）。最后，几个关键的RPS政策设计特征因州而异，对电厂级电价产生了不同的影响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https://www.nber.org/papers/w30502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