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自动化和极化</w:t>
      </w:r>
    </w:p>
    <w:p>
      <w:pPr>
        <w:pStyle w:val="cn"/>
        <w:jc w:val="center"/>
      </w:pPr>
      <w:r>
        <w:t>作者:Daron Acemoglu, Jonas Loebbing</w:t>
      </w:r>
    </w:p>
    <w:p>
      <w:pPr>
        <w:pStyle w:val="cn"/>
        <w:ind w:firstLine="420"/>
        <w:jc w:val="left"/>
      </w:pPr>
      <w:r>
        <w:t>我们开发了自动化的分配模型。复杂度可变的连续任务中的每一项都被分配给资本或连续劳动技能中的一项。我们描述了内部自动化的条件，从而将中等复杂度的任务分配给资本。当最熟练的工人在最复杂的任务中相对于资本具有相对优势时，以及当最不熟练的工人的工资相对于他们的生产力和低复杂任务中的有效资本成本足够低时，内部自动化就会出现。最低工资和其他底层较高工资来源使得内部自动化的可能性降低。从内部自动化开始，资本成本的降低（或资本生产率的提高）会导致就业和工资两极分化。具体而言，进一步的自动化将工人推入任务分配的下端和上端。它还单调地增加高于技能阈值的技能溢价，并降低低于该阈值的技能。此外，自动化倾向于降低相对优势接近资本的工人的实际工资。我们表明，资本生产率的足够大的增长最终会导致向低技能自动化的转变，并从定性上改变自动化的效果——此后会导致技能溢价的单调增长，而不是工资的两极分化。</w:t>
      </w:r>
    </w:p>
    <w:p/>
    <w:p>
      <w:pPr>
        <w:pStyle w:val="cn"/>
        <w:jc w:val="left"/>
      </w:pPr>
      <w:r>
        <w:rPr>
          <w:b/>
        </w:rPr>
        <w:t>原文链接:</w:t>
        <w:br/>
      </w:r>
      <w:hyperlink r:id="rId9">
        <w:r>
          <w:rPr>
            <w:color w:val="0000FF"/>
            <w:u w:val="single"/>
          </w:rPr>
          <w:t>https://www.nber.org/papers/w30528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