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跨国公司与结构转型</w:t>
      </w:r>
    </w:p>
    <w:p>
      <w:pPr>
        <w:pStyle w:val="cn"/>
        <w:jc w:val="center"/>
      </w:pPr>
      <w:r>
        <w:t>作者:Vanessa I. Alviarez, Cheng Chen, Nitya Pandalai-Nayar, Liliana Varela, Kei-Mu Yi, Hongyong Zhang</w:t>
      </w:r>
    </w:p>
    <w:p>
      <w:pPr>
        <w:pStyle w:val="cn"/>
        <w:ind w:firstLine="420"/>
        <w:jc w:val="left"/>
      </w:pPr>
      <w:r>
        <w:t>我们研究了跨国公司（MNC）在促进企业层面和总体结构转型方面的作用。使用跨国生产和贸易的程式化模型，我们表明，制造业部门的内向跨国自由化增加了东道国公司的就业，减少了制造业就业，同时也增加了母公司的服务业就业。我们还展示了骨料结构转变发生的条件。我们使用来自日本的机密微观数据来测试模型的公司级预测。我们研究了日本跨国公司母公司及其在华子公司对中国对外直接投资（FDI）开放程度的外部变化的反应。我们发现，在鼓励外商直接投资的行业中，日本跨国公司在中国的子公司的就业人数有所增加。我们还发现，受鼓励行业的跨国公司父母经历了母国制造业就业的减少，母国服务业和研发业就业的增加。最后，利用几个发达国家和中等收入国家的微观数据，我们将总体制造业就业份额的变化分解为跨国公司和非跨国公司部分。我们发现跨国公司在所有国家都发挥着重要作用，这表明我们强调的机制是结构转型的重要全球驱动力。</w:t>
      </w:r>
    </w:p>
    <w:p/>
    <w:p>
      <w:pPr>
        <w:pStyle w:val="cn"/>
        <w:jc w:val="left"/>
      </w:pPr>
      <w:r>
        <w:rPr>
          <w:b/>
        </w:rPr>
        <w:t>原文链接:</w:t>
        <w:br/>
      </w:r>
      <w:hyperlink r:id="rId9">
        <w:r>
          <w:rPr>
            <w:color w:val="0000FF"/>
            <w:u w:val="single"/>
          </w:rPr>
          <w:t>https://www.nber.org/papers/w30494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