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金本位模型</w:t>
      </w:r>
    </w:p>
    <w:p>
      <w:pPr>
        <w:pStyle w:val="cn"/>
        <w:jc w:val="center"/>
      </w:pPr>
      <w:r>
        <w:t>作者:Jesús Fernández-Villaverde, Daniel Sanches</w:t>
      </w:r>
    </w:p>
    <w:p>
      <w:pPr>
        <w:pStyle w:val="cn"/>
        <w:ind w:firstLine="420"/>
        <w:jc w:val="left"/>
      </w:pPr>
      <w:r>
        <w:t>金本位制在19世纪末成为国际货币体系。我们在一个微观基础模型中正式研究了其性质，发现世界黄金库存的稀缺不仅导致用货币购买的商品产出不理想，而且使一个国家的国内经济受到外部冲击。私人信贷工具形式的内部货币的创造增加了货币供应，通常会导致帕累托改善，但也为银行危机的国际传播打开了大门。金本位制的这些特性可以解释外围国家因其经济潜在风险而有限遵守的原因。我们认为，金本位制在核心是可持续的，但在外围是不可持续的。</w:t>
      </w:r>
    </w:p>
    <w:p/>
    <w:p>
      <w:pPr>
        <w:pStyle w:val="cn"/>
        <w:jc w:val="left"/>
      </w:pPr>
      <w:r>
        <w:rPr>
          <w:b/>
        </w:rPr>
        <w:t>原文链接:</w:t>
        <w:br/>
      </w:r>
      <w:hyperlink r:id="rId9">
        <w:r>
          <w:rPr>
            <w:color w:val="0000FF"/>
            <w:u w:val="single"/>
          </w:rPr>
          <w:t>https://www.nber.org/papers/w30457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