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1311-2021长期实际利率的长期趋势</w:t>
      </w:r>
    </w:p>
    <w:p>
      <w:pPr>
        <w:pStyle w:val="cn"/>
        <w:jc w:val="center"/>
      </w:pPr>
      <w:r>
        <w:t>作者:Kenneth S. Rogoff, Barbara Rossi, Paul Schmelzing</w:t>
      </w:r>
    </w:p>
    <w:p>
      <w:pPr>
        <w:pStyle w:val="cn"/>
        <w:ind w:firstLine="420"/>
        <w:jc w:val="left"/>
      </w:pPr>
      <w:r>
        <w:t>利用长期金融和经济数据的最新进展，本文分析了过去七个世纪全球长期实际利率的统计特性。与现有共识形成对比的是，大多数共识都集中在短期利率的短期样本上，我们发现发达经济体的长期实际利率实际上是趋势平稳的，并且自文艺复兴以来呈现出持续下降的趋势。我们使用多种统计方法调查了实际利率随时间的结构性断裂，并发现只有1557年的黑死病和“三位一体违约”在全球和国家层面上表现为资本市场的一致拐点。虽然在多个系列中也提出了1914年的突破（尽管不如现有文献所预期的那样稳健），但1981年出现拐点的证据似乎要弱得多。我们进一步研究了持续性趋势，以及全球实际利率的常见驱动因素：利用重大数据进步，我们认为，从历史上看，人口和生产率因素似乎没有显示出有希望的因果关系，事实上，从长期来看，这些因素与实际利率存在差异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https://www.nber.org/papers/w30475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