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Auditing the Prescription Drug Consumer Price Index in a Changing Marketplace</w:t>
      </w:r>
    </w:p>
    <w:p>
      <w:r>
        <w:t>Author:Richard G. Frank, Andrew L. Hicks, Ernst R. Berndt</w:t>
      </w:r>
    </w:p>
    <w:p>
      <w:r>
        <w:t>Date:2022-09-01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NEBR-working_paper</w:t>
        </w:r>
      </w:hyperlink>
    </w:p>
    <w:p>
      <w:pPr>
        <w:pStyle w:val="cn"/>
        <w:ind w:firstLine="200"/>
      </w:pPr>
      <w:r>
        <w:t>劳工统计局的处方药消费者价格指数（CPI Rx）近年来一直是争议的焦点。CPI Rx将其抽样框架限制在零售门诊门店的交易，不包括医院、医生/诊所门诊设施和疗养院发放的处方药。因此，CPI Rx忽略了在医院、门诊部和医生办公室配药的越来越重要的特殊药物，这些药物的交易被纳入医疗CPI的整体医院或专业服务部分。特种药物现在占美国所有药物支出的55%，是十年前的两倍。由于特殊药品的增长与传统药品的增长不同，CPI Rx可能无法准确衡量总体药品价格通胀。使用IBM MarketScan数据库2010-2019年的数据和IQVIA指定的特殊药物，我们估计，由于没有在非零售环境中对特殊药物进行抽样，CPI Rx每年低估了美国处方药价格的总体通胀率，略低于75个基点。我们讨论了对卫生保健政策的影响，并建议BLS审查发布综合药品价格指数的可行性，该指数包括零售和非零售环境中分配的传统和特殊药品。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system/files/working_papers/w30448/w30448.pdf" TargetMode="External"/><Relationship Id="rId10" Type="http://schemas.openxmlformats.org/officeDocument/2006/relationships/hyperlink" Target="https://www.nber.org/papers/w304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