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Bargaining in the Shadow of Uncertainty</w:t>
      </w:r>
    </w:p>
    <w:p>
      <w:r>
        <w:t>Author:Marina Agranov, Hülya Eraslan, Chloe Tergiman</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pStyle w:val="cn"/>
        <w:ind w:firstLine="200"/>
      </w:pPr>
      <w:r>
        <w:t>我们对未来盈余随机的多边谈判环境中的一致性和多数投票规则进行了实验研究。在这些情况下，当预期未来盈余远远高于当前盈余时达成协议是低效的。从理论上讲，这种低效率从来不会在一致性规则下出现，但在多数人规则下可能会出现，因为参与者试图避免未来被排除在获胜联盟之外的内在风险。我们发现，当一致性规则被预测会导致更多延迟时，以及当两个规则都会导致相同程度的延迟时，这种预测都得到了强有力的支持。我们还发现，延迟时间比大多数规则下预测的要多。利用谈判者之间对话的数据和实施的提案类型，我们发现，这些偏差是由于比理论预测的更平等的分享而产生的，因此，未来被排除在获胜联盟之外的风险更低。</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34/w30434.pdf" TargetMode="External"/><Relationship Id="rId10" Type="http://schemas.openxmlformats.org/officeDocument/2006/relationships/hyperlink" Target="https://www.nber.org/papers/w304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