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Global Trends in Income Inequality and Income Dynamics New Insights from GRID</w:t>
      </w:r>
    </w:p>
    <w:p>
      <w:r>
        <w:t>Author:Fatih Guvenen, Luigi Pistaferri, Giovanni L. Violante</w:t>
      </w:r>
    </w:p>
    <w:p>
      <w:r>
        <w:t>Date:2022-09-01</w:t>
      </w:r>
    </w:p>
    <w:p>
      <w:r>
        <w:t>Keyword:NA</w:t>
      </w:r>
    </w:p>
    <w:p>
      <w:r>
        <w:t>Attachment:</w:t>
      </w:r>
      <w:hyperlink r:id="rId9">
        <w:r>
          <w:rPr>
            <w:color w:val="0000FF"/>
            <w:u w:val="single"/>
          </w:rPr>
          <w:t>Link</w:t>
        </w:r>
      </w:hyperlink>
    </w:p>
    <w:p>
      <w:r>
        <w:t>From:</w:t>
      </w:r>
      <w:hyperlink r:id="rId10">
        <w:r>
          <w:rPr>
            <w:color w:val="0000FF"/>
            <w:u w:val="single"/>
          </w:rPr>
          <w:t>NEBR-working_paper</w:t>
        </w:r>
      </w:hyperlink>
    </w:p>
    <w:p>
      <w:pPr>
        <w:pStyle w:val="cn"/>
        <w:ind w:firstLine="200"/>
      </w:pPr>
      <w:r>
        <w:t>全球收入动态数据库（GRID）是一个新的开放存取的跨国数据库，其中包含关于收入不平等、动态和流动性的广泛微观统计数据。它有四个关键特征：它建立在从行政记录中提取的微型面板数据之上；它充分利用了底层数据集的纵向维度；它为精确定义的亚人群提供了收入不平等和收入动态的详细描述；它是以协调和跨国可比性为目标从头开始设计的。本文介绍了该数据库，并介绍了目前在全球资源信息数据库中的13个国家在收入不平等和收入动态方面的一系列全球趋势。我们的结果是基于13个国家小组为全球资源信息数据库创建的统计数据，他们也为这个特别问题提供了单独的文章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n">
    <w:name w:val="cn"/>
    <w:rPr>
      <w:rFonts w:ascii="微软雅黑" w:hAnsi="微软雅黑" w:eastAsia="微软雅黑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system/files/working_papers/w30524/w30524.pdf" TargetMode="External"/><Relationship Id="rId10" Type="http://schemas.openxmlformats.org/officeDocument/2006/relationships/hyperlink" Target="https://www.nber.org/papers/w305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