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Horses for Courses Measuring Foreign Supply Chain Exposure</w:t>
      </w:r>
    </w:p>
    <w:p>
      <w:r>
        <w:t>Author:Richard Baldwin, Rebecca Freeman, Angelos Theodorakopoulos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pStyle w:val="cn"/>
        <w:ind w:firstLine="200"/>
      </w:pPr>
      <w:r>
        <w:t>近年来，人们对全球供应链（GSC）的看法已从积极转变为更加谨慎。标准GSC措施大多未适应这一变化，因为它们侧重于参与而非接触外国供应链。本文介绍了跟踪外国GSC敞口所需的工具，并介绍了GSC指标设计的系统冲击方法。我们利用这一点来制定衡量各种外国冲击影响的指标。我们认为，不同的指标适用于不同的问题，并表明它们可以对同一外国风险问题提供定性不同的答案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525/w30525.pdf" TargetMode="External"/><Relationship Id="rId10" Type="http://schemas.openxmlformats.org/officeDocument/2006/relationships/hyperlink" Target="https://www.nber.org/papers/w305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