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KFstar and Portfolio Inflows A Focus on Latin America</w:t>
      </w:r>
    </w:p>
    <w:p>
      <w:r>
        <w:t>Author:John D. Burger, Francis E. Warnock, Veronica Cacdac Warnock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拉丁美洲投资组合流入显示出在中期内回归自然水平KF*的强烈趋势。实际流量与KF*的偏差为决策者提供了未来流量、突然停止和全球冲击脆弱性的实时预测。KF*流量的短期偏差分析揭示了异质驱动因素：巴西、智利和墨西哥的商品价格；阿根廷、哥斯达黎加和秘鲁的风险承受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3/w30453.pdf" TargetMode="External"/><Relationship Id="rId10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