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KFstar和投资组合流入关注拉丁美洲</w:t>
      </w:r>
    </w:p>
    <w:p>
      <w:pPr>
        <w:pStyle w:val="cn"/>
        <w:jc w:val="center"/>
      </w:pPr>
      <w:r>
        <w:t>作者:John D. Burger, Francis E. Warnock, Veronica Cacdac Warnock</w:t>
      </w:r>
    </w:p>
    <w:p>
      <w:pPr>
        <w:pStyle w:val="cn"/>
        <w:ind w:firstLine="420"/>
        <w:jc w:val="left"/>
      </w:pPr>
      <w:r>
        <w:t>拉丁美洲投资组合流入显示出在中期内恢复到自然水平KF*的强烈趋势。实际流量与KF*的偏差为决策者提供了未来流量、突然停止和全球冲击脆弱性的实时预测。对KF*流量短期偏差的分析揭示了不同的驱动因素：巴西、智利和墨西哥的商品价格；阿根廷、哥斯达黎加和秘鲁的风险承受能力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https://www.nber.org/papers/w30453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