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Know Your Customer Informed Trading by Banks</w:t>
      </w:r>
    </w:p>
    <w:p>
      <w:r>
        <w:t>Author:Rainer Haselmann, Christian Leuz, Sebastian Schreiber</w:t>
      </w:r>
    </w:p>
    <w:p>
      <w:r>
        <w:t>Date:2022-09-01</w:t>
      </w:r>
    </w:p>
    <w:p>
      <w:r>
        <w:t>Keyword:NA</w:t>
      </w:r>
    </w:p>
    <w:p>
      <w:r>
        <w:t>Attachment:</w:t>
      </w:r>
      <w:hyperlink r:id="rId9">
        <w:r>
          <w:rPr>
            <w:color w:val="0000FF"/>
            <w:u w:val="single"/>
          </w:rPr>
          <w:t>Link</w:t>
        </w:r>
      </w:hyperlink>
    </w:p>
    <w:p>
      <w:r>
        <w:t>From:</w:t>
      </w:r>
      <w:hyperlink r:id="rId10">
        <w:r>
          <w:rPr>
            <w:color w:val="0000FF"/>
            <w:u w:val="single"/>
          </w:rPr>
          <w:t>NEBR-working_paper</w:t>
        </w:r>
      </w:hyperlink>
    </w:p>
    <w:p>
      <w:pPr>
        <w:pStyle w:val="cn"/>
        <w:ind w:firstLine="200"/>
      </w:pPr>
      <w:r>
        <w:t>本研究分析了具有借贷关系的银行的信息生产和交易行为。我们结合逐笔交易监管数据和信贷登记数据，审查银行围绕大量公司活动进行的借款人股票自营交易。我们发现，关系型银行在事件发生前的两周内积累了积极（消极）的交易头寸，即使这些事件是非计划的，并且在事件发生后不久平仓。这种交易模式在银行可能拥有借款人的私人信息，并且无法用某些行业或某些公司的专业知识来解释的情况下更为明显。结果表明，银行的借贷关系为其交易提供了信息，并突显出普遍银行业务中潜在的利益冲突，长期以来，这一直是监管辩论中的一个突出问题。我们的分析表明，合并大型数据集可以揭示异常的交易模式，并加强对金融机构的监管。</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n">
    <w:name w:val="cn"/>
    <w:rPr>
      <w:rFonts w:ascii="微软雅黑" w:hAnsi="微软雅黑" w:eastAsia="微软雅黑"/>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system/files/working_papers/w30521/w30521.pdf" TargetMode="External"/><Relationship Id="rId10" Type="http://schemas.openxmlformats.org/officeDocument/2006/relationships/hyperlink" Target="https://www.nber.org/papers/w3052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