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Racial Diversity in Private Capital Fundraising</w:t>
      </w:r>
    </w:p>
    <w:p>
      <w:r>
        <w:t>Author:Johan Cassel, Josh Lerner, Emmanuel Yimfor</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pStyle w:val="cn"/>
        <w:ind w:firstLine="200"/>
      </w:pPr>
      <w:r>
        <w:t>黑人和西班牙裔拥有的基金在私人资本行业中控制着非常有限的资产份额。我们发现，对于少数股权集团，尤其是表现不佳的集团，后续融资对基金业绩的敏感性更大。我们发现，对这些模式的一些解释几乎没有得到支持：少数群体基金的估值被高估，少数群体基金在招聘人员方面遇到困难，或者这些基金更难配置资本。我们确实发现，在种族意识高涨的时期，以及当地方公共养老金计划和捐赠基金的首席投资官是少数群体时，少数群体筹集资本的能力有所提高。总之，这些结果支持这样一种假设，即黑人和西班牙裔公司在私人资本中的适度代表性至少部分来自投资者需求的性质，而不是基金经理的供应。</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500/w30500.pdf" TargetMode="External"/><Relationship Id="rId10" Type="http://schemas.openxmlformats.org/officeDocument/2006/relationships/hyperlink" Target="https://www.nber.org/papers/w305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