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Trade-ins and Transaction Costs in the Market for Used Business Jets</w:t>
      </w:r>
    </w:p>
    <w:p>
      <w:r>
        <w:t>Author:Charles Hodgson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pStyle w:val="cn"/>
        <w:ind w:firstLine="200"/>
      </w:pPr>
      <w:r>
        <w:t>耐用品制造商可以通过接受二手商品作为折价商品，鼓励面临交易成本的消费者进行升级。这些“回购计划”增加了对新装置的需求，但如果以旧换新，则会增加旧装置的供应。在本文中，我研究了公务机市场回购计划的均衡效应。我发现回购以固定价格将新单位需求增加37%。然而，平衡来看，由于首次购买者不再购买新飞机，销售额的增长减少了38%。由于这种相互蚕食，6家主要公司中只有3家公司采用回购策略，其中3家公司提供回购作为对其他公司政策的最佳回应。我表明，均衡回购政策可以在反事实的市场结构下发生变化：模拟合并导致消费者福利降低，其中70%是由于回购政策的变化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97/w30497.pdf" TargetMode="External"/><Relationship Id="rId10" Type="http://schemas.openxmlformats.org/officeDocument/2006/relationships/hyperlink" Target="https://www.nber.org/papers/w304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