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Zoomers和Boomers资产价格与代际不平等</w:t>
      </w:r>
    </w:p>
    <w:p>
      <w:pPr>
        <w:pStyle w:val="cn"/>
        <w:jc w:val="center"/>
      </w:pPr>
      <w:r>
        <w:t>作者:Leland Farmer, Roger Farmer</w:t>
      </w:r>
    </w:p>
    <w:p>
      <w:pPr>
        <w:pStyle w:val="cn"/>
        <w:ind w:firstLine="420"/>
        <w:jc w:val="left"/>
      </w:pPr>
      <w:r>
        <w:t>我们构建了一个具有总不确定性的永久青年DSGE模型，其中存在动态完整的市场，并且代理商具有Epstein Zin偏好。我们证明，当捐赠具有真实的驼峰形年龄分布时，我们的模型具有三个稳态平衡。其中一个均衡是动态低效的，并显示出真实的价格不确定性。我们估计了模型的参数，发现围绕不确定稳态的四阶近似最适合美国数据。我们的工作解释了过去一个世纪以来西方经济体观察到的巨大而持久的代际不平等现象，这是出生群体无法投保的收入冲击的结果。</w:t>
      </w:r>
    </w:p>
    <w:p/>
    <w:p>
      <w:pPr>
        <w:pStyle w:val="cn"/>
        <w:jc w:val="left"/>
      </w:pPr>
      <w:r>
        <w:rPr>
          <w:b/>
        </w:rPr>
        <w:t>原文链接:</w:t>
        <w:br/>
      </w:r>
      <w:hyperlink r:id="rId9">
        <w:r>
          <w:rPr>
            <w:color w:val="0000FF"/>
            <w:u w:val="single"/>
          </w:rPr>
          <w:t>https://www.nber.org/papers/w30419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