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欧盟货币市场基金监管是否符合新冠肺炎疫情的教训</w:t>
      </w:r>
    </w:p>
    <w:p>
      <w:pPr>
        <w:pStyle w:val="cn"/>
        <w:jc w:val="center"/>
      </w:pPr>
      <w:r>
        <w:t>作者:Laura-Dona Capotă, Michael Grill, Luis Molestina Vivar, Niklas Schmitz, Christian Weistroffer</w:t>
      </w:r>
    </w:p>
    <w:p>
      <w:pPr>
        <w:pStyle w:val="cn"/>
        <w:ind w:firstLine="420"/>
        <w:jc w:val="left"/>
      </w:pPr>
      <w:r>
        <w:t>2020年3月的市场动荡凸显了欧盟货币市场基金（MMF）部门的关键漏洞。本文基于对欧盟货币市场基金每日频率的面板分析，从金融稳定的角度评估了欧盟监管框架的有效性。首先，我们发现，私人债务资产投资使MMF面临流动性风险。其次，我们发现，低波动性净资产价值（LVNAV）基金投资于非公开债务资产，同时提供稳定的资产净值，面临比其他基金类型更高的赎回。2020年3月，违反监管资产净值限制的风险可能会刺激一些LVNAV投资者的资金外流。第三，流动性缓冲水平较低的MMF比其他基金使用的缓冲更少，这表明在压力时期缓冲可用性水平较低。我们的研究结果表明，欧盟货币市场基金部门的脆弱性，并呼吁加强私人债务货币市场基金的监管框架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