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LOLR政策、银行借贷能力和融资结构</w:t>
      </w:r>
    </w:p>
    <w:p>
      <w:pPr>
        <w:pStyle w:val="cn"/>
        <w:jc w:val="center"/>
      </w:pPr>
      <w:r>
        <w:t>作者:Stefano Corradin, Suresh Sundaresan</w:t>
      </w:r>
    </w:p>
    <w:p>
      <w:pPr>
        <w:pStyle w:val="cn"/>
        <w:ind w:firstLine="420"/>
        <w:jc w:val="left"/>
      </w:pPr>
      <w:r>
        <w:t>我们调查了银行获得LOLR的收益和成本。结合新的数据集，我们估计了欧洲央行欧元区银行的借贷能力。控制评级后，我们发现，在重大金融和欧元区主权债务危机期间，资金较为脆弱的银行可能会向欧洲央行借款更多。我们开发了一个银行的动态模型，并将其与我们的经验估计进行了校准。获得LOLR的银行拥有更高的股权价值，在新贷款方面进行了更大的投资，但它的杠杆率更高，支付的股息更多，发行的股权更少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https://www.ecb.europa.eu/pub/research/working-papers/html/papers-2022.include.en.html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