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现在不是改变主权脆弱性和企业信用风险的时候了</w:t>
      </w:r>
    </w:p>
    <w:p>
      <w:pPr>
        <w:pStyle w:val="cn"/>
        <w:jc w:val="center"/>
      </w:pPr>
      <w:r>
        <w:t>作者:Fabio Fornari, Andrea Zaghini</w:t>
      </w:r>
    </w:p>
    <w:p>
      <w:pPr>
        <w:pStyle w:val="cn"/>
        <w:ind w:firstLine="420"/>
        <w:jc w:val="left"/>
      </w:pPr>
      <w:r>
        <w:t>基于从货币政策公告中借鉴的观点，并在传统事件研究分析中引入计量经济学扭曲，我们记录了“事件风险转移”的存在，即主权评级下调后，主权国家向企业部门的重大信用风险转移。我们发现，在评级下调后，企业CDS利差每年上升36%，并且在各国之间存在广泛的传染，特别是在那些最容易受到主权债务危机影响的国家。这种影响存在于主权和企业信用风险之间的标准关系之上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