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半死不活的黎明僵尸鉴定的扭曲世界</w:t>
      </w:r>
    </w:p>
    <w:p>
      <w:pPr>
        <w:pStyle w:val="cn"/>
        <w:jc w:val="center"/>
      </w:pPr>
      <w:r>
        <w:t>作者:Luca Mingarelli, Beatrice Ravanetti, Tamarah Shakir, Jonas Wendelborn</w:t>
      </w:r>
    </w:p>
    <w:p>
      <w:pPr>
        <w:pStyle w:val="cn"/>
        <w:ind w:firstLine="420"/>
        <w:jc w:val="left"/>
      </w:pPr>
      <w:r>
        <w:t>自20世纪90年代日本危机研究中首次提出“僵尸化”一词以来，僵尸化的概念已被反复研究，并在经济中出现信贷错配和生产率增长停滞的担忧时再次出现。这些研究的出发点几乎总是试图识别所谓的“僵尸”公司。这在过去几年中导致了不同定义和识别方法的激增。我们调查了最突出的定义，讨论了每个定义的优点和局限性。我们还对2004-2019年欧元区企业的通用数据集进行了方法学比较，结果表明，几项重要研究发现企业的重叠有限，可比性低。作为回应，我们引入了僵尸分类的形式化，这有助于在越来越多的变化和识别方法中进行排序。此外，这种形式化也有助于将二进制识别的概念扩展到模糊僵尸识别的概念。特别是，我们介绍了一种将任意二进制分类转换为模糊分类的通用程序，表明它成功地提高了僵尸定义之间的一致性。</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