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气候变化对自然利率的影响——一项关键性调查</w:t>
      </w:r>
    </w:p>
    <w:p>
      <w:pPr>
        <w:pStyle w:val="cn"/>
        <w:jc w:val="center"/>
      </w:pPr>
      <w:r>
        <w:t>作者:Francesco Paolo Mongelli, Wolfgang Pointner, Jan Willem van den End</w:t>
      </w:r>
    </w:p>
    <w:p>
      <w:pPr>
        <w:pStyle w:val="cn"/>
        <w:ind w:firstLine="420"/>
        <w:jc w:val="left"/>
      </w:pPr>
      <w:r>
        <w:t>这项调查回顾了有关气候变化对自然利率（r*）影响的文献，自然利率是货币政策的一个重要衡量标准。经济和金融发展可以降低与气候相关的损害和不确定性增加的情况下的风险，从而降低生产率增长并提高预防性储蓄。相反，在假设转型政策引发创新和投资的情况下，r*可能会受到积极影响。有序的气候政策通过促进向碳中和经济的过渡和支持稳定的投资流发挥着关键作用。我们讨论了用于模拟气候变化对r*影响的主要模型，并总结了结果。即使考虑到结果的高度不确定性，气候变化对r*的向下影响也可能是巨大的。此外，从长远来看，r*的下行压力将进一步挑战货币政策，限制其政策空间。</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