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美联储——气候变化与监管资本的作用——政策评估的风格化框架</w:t>
      </w:r>
    </w:p>
    <w:p>
      <w:pPr>
        <w:pStyle w:val="cn"/>
        <w:jc w:val="center"/>
      </w:pPr>
      <w:r>
        <w:t>作者:Michael Holscher, David Ignell, Morgan Lewis, and Kevin Stiroh</w:t>
      </w:r>
    </w:p>
    <w:p>
      <w:pPr>
        <w:pStyle w:val="cn"/>
        <w:ind w:firstLine="420"/>
        <w:jc w:val="left"/>
      </w:pPr>
      <w:r>
        <w:t>本文提出了一个风格化的非国家特定框架，从概念上评估气候变化的金融风险如何与监管资本制度相互作用。我们总结了资本制度的核心特征，如预期和意外损失、监管比率和风险加权资产、最低要求和缓冲，然后考虑与气候相关的风险驱动因素可能相关的地方。我们表明，在考虑政策影响时，准确了解气候变化可能如何影响银行的损失产生过程以及明确具体的政策目标至关重要。虽然气候变化可能会以多种方式影响监管资本制度，但内部一致的方法需要在关于这些金融风险如何表现为银行损失以及监管机构追求的目标的具体假设和信念之间建立强有力的联系。最后，我们确定了几个潜在的研究机会，以更好地理解这些复杂问题并为政策制定提供信息。</w:t>
      </w:r>
    </w:p>
    <w:p/>
    <w:p>
      <w:pPr>
        <w:pStyle w:val="cn"/>
        <w:jc w:val="left"/>
      </w:pPr>
      <w:r>
        <w:rPr>
          <w:b/>
        </w:rPr>
        <w:t>原文链接:</w:t>
        <w:br/>
      </w:r>
      <w:hyperlink r:id="rId9">
        <w:r>
          <w:rPr>
            <w:color w:val="0000FF"/>
            <w:u w:val="single"/>
          </w:rPr>
          <w:t>https://www.federalreserve.gov/econres/feds/climate-change-and-the-role-of-regulatory-capital.htm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limate-change-and-the-role-of-regulatory-capit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