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美联储——气候风险保险监管和交叉补贴的定价</w:t>
      </w:r>
    </w:p>
    <w:p>
      <w:pPr>
        <w:pStyle w:val="cn"/>
        <w:jc w:val="center"/>
      </w:pPr>
      <w:r>
        <w:t>作者:Sangmin S. Oh, Ishita Sen, and Ana-Maria Tenekedjieva</w:t>
      </w:r>
    </w:p>
    <w:p>
      <w:pPr>
        <w:pStyle w:val="cn"/>
        <w:ind w:firstLine="420"/>
        <w:jc w:val="left"/>
      </w:pPr>
      <w:r>
        <w:t>房主保险是一个价值15万亿美元的市场，它为家庭提供了免受气候损失的经济保护。在美国，保险费（费率）受州一级的重要规定约束。利用保险公司向监管机构提交的新数据，我们提出了一个衡量各州监管程度的指标。我们提供了保险费率与其潜在风险脱钩的证据，并将监管视为这种模式背后的驱动力。在我们归类为“高摩擦”的州，即法规最严格的州，利率反映风险的程度最低。我们确定了脱钩背后的两个来源。首先，在高摩擦状态下，利率没有充分调整以应对损失的增长。其次，保险公司通过提高低摩擦州的利率，对高摩擦州进行了交叉补贴。我们的结果表明，低摩擦状态下的家庭不成比例地承担着高摩擦状态下家庭的风险。更广泛地说，我们的研究结果质疑保险费率是否可以在指导气候适应方面发挥有用的作用，以及家庭是否可以继续获得保险。</w:t>
      </w:r>
    </w:p>
    <w:p/>
    <w:p>
      <w:pPr>
        <w:pStyle w:val="cn"/>
        <w:jc w:val="left"/>
      </w:pPr>
      <w:r>
        <w:rPr>
          <w:b/>
        </w:rPr>
        <w:t>原文链接:</w:t>
        <w:br/>
      </w:r>
      <w:hyperlink r:id="rId9">
        <w:r>
          <w:rPr>
            <w:color w:val="0000FF"/>
            <w:u w:val="single"/>
          </w:rPr>
          <w:t>https://www.federalreserve.gov/econres/feds/pricing-of-climate-risk-insurance-regulation-and-cross-subsidies.htm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pricing-of-climate-risk-insurance-regulation-and-cross-subsid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