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美联储-微观和宏观审慎背景下的气候变化和双重重要性</w:t>
      </w:r>
    </w:p>
    <w:p>
      <w:pPr>
        <w:pStyle w:val="cn"/>
        <w:jc w:val="center"/>
      </w:pPr>
      <w:r>
        <w:t>作者:Kevin J. Stiroh</w:t>
      </w:r>
    </w:p>
    <w:p>
      <w:pPr>
        <w:pStyle w:val="cn"/>
        <w:ind w:firstLine="420"/>
        <w:jc w:val="left"/>
      </w:pPr>
      <w:r>
        <w:t>本文提出了一个风格化的银行风险承担框架，以帮助澄清“双重重要性”的概念，即监管机构应同时考虑银行面临的气候变化风险和银行行为对气候变化的影响。论文表明，双重实质性的概念可以连贯地嵌入一个微观审慎的框架中，但其实际含义可能与单一实质性观点的含义非常相似。当考虑金融部门外部性驱动的宏观审慎目标时，双重实质性观点的重要性变得更大。该框架说明了在评估政策备选方案时明确监督任务和目标的关键重要性。</w:t>
      </w:r>
    </w:p>
    <w:p/>
    <w:p>
      <w:pPr>
        <w:pStyle w:val="cn"/>
        <w:jc w:val="left"/>
      </w:pPr>
      <w:r>
        <w:rPr>
          <w:b/>
        </w:rPr>
        <w:t>原文链接:</w:t>
        <w:br/>
      </w:r>
      <w:hyperlink r:id="rId9">
        <w:r>
          <w:rPr>
            <w:color w:val="0000FF"/>
            <w:u w:val="single"/>
          </w:rPr>
          <w:t>https://www.federalreserve.gov/econres/feds/climate-change-and-double-materiality-in-a-micro-and-macroprudential-context.htm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climate-change-and-double-materiality-in-a-micro-and-macroprudential-contex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