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伤疤与公司债务</w:t>
      </w:r>
    </w:p>
    <w:p>
      <w:pPr>
        <w:pStyle w:val="cn"/>
        <w:jc w:val="center"/>
      </w:pPr>
      <w:r>
        <w:t>作者:Julia Estefania-Flores;Davide Furceri;Pablo Gonzalez-Dominguez;Siddharth Kothari;Nour Tawk</w:t>
      </w:r>
    </w:p>
    <w:p>
      <w:pPr>
        <w:pStyle w:val="cn"/>
        <w:ind w:firstLine="420"/>
        <w:jc w:val="left"/>
      </w:pPr>
      <w:r>
        <w:t>本文估计了衰退对企业投资的伤疤效应，以及它是如何被企业债务水平放大的。我们的结果表明，企业债务在塑造投资对衰退的反应方面的影响在统计上是显著的，在经济上是相当可观的，高债务企业的投资下降幅度比低债务企业大。包络线后的计算表明，企业债务至少占衰退后平均中期投资下降的28%。对于信贷受限的小公司和利润较低的公司，以及短期债务比例较高的公司，这种影响尤其大，因此可能更难展期或筹集新资金投资于新项目。这些结果对几项检查都是稳健的，包括对各种子样本、衰退的替代测量和解释变量，以及大量的控制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https://www.imf.org/en/Publications/WP/Issues/2022/10/28/Scarring-and-Corporate-Debt-525210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Scarring-and-Corporate-Debt-525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