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数字化和弹性</w:t>
      </w:r>
    </w:p>
    <w:p>
      <w:pPr>
        <w:pStyle w:val="cn"/>
        <w:jc w:val="center"/>
      </w:pPr>
      <w:r>
        <w:t>作者:Alexander Copestake;Julia Estefania-Flores;Davide Furceri</w:t>
      </w:r>
    </w:p>
    <w:p>
      <w:pPr>
        <w:pStyle w:val="cn"/>
        <w:ind w:firstLine="420"/>
        <w:jc w:val="left"/>
      </w:pPr>
      <w:r>
        <w:t>本文研究了数字化在提高经济韧性中的作用。使用来自75个国家24000家公司的资产负债表数据和差异差异法，我们发现，在经济衰退后，数字化程度更高的行业中的公司收入损失更低。自新冠肺炎大流行爆发以来的早期数据表明，在由此产生的衰退期间，影响甚至更大。这些结果在广泛的数字化措施中表现强劲，如信息和通信技术投入和就业份额、机器人使用、在线销售、无形资产和在线简介中列出的数字技能以及若干替代规范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https://www.imf.org/en/Publications/WP/Issues/2022/10/28/Digitalization-and-Resilience-525207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mf.org/en/Publications/WP/Issues/2022/10/28/Digitalization-and-Resilience-5252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