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数字货币与中央银行资产负债表</w:t>
      </w:r>
    </w:p>
    <w:p>
      <w:pPr>
        <w:pStyle w:val="cn"/>
        <w:jc w:val="center"/>
      </w:pPr>
      <w:r>
        <w:t>作者:Adrian Armas;Manmohan Singh</w:t>
      </w:r>
    </w:p>
    <w:p>
      <w:pPr>
        <w:pStyle w:val="cn"/>
        <w:ind w:firstLine="420"/>
        <w:jc w:val="left"/>
      </w:pPr>
      <w:r>
        <w:t>数字货币是支付系统技术不断进步过程中的一个逻辑步骤。作为回应，各国央行正在根据金融市场和金融体系的新形态，审查其货币操作行为。数字货币的影响将取决于数字货币替代货币的类型。该文件涵盖了几种情况，其中CiC（流通货币）的替代，银行存款可能通过数字货币（如CBDC或其他电子货币）进行，以及它将如何影响央行资产负债表。如果CBDC的薪酬与一个新的目标相一致，可能会放大对货币政策利率渠道的影响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https://www.imf.org/en/Publications/WP/Issues/2022/10/28/Digital-Money-and-Central-Banks-Balance-Sheet-524987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mf.org/en/Publications/WP/Issues/2022/10/28/Digital-Money-and-Central-Banks-Balance-Sheet-5249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