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金融创新和统计方法指导的关键考虑因素</w:t>
      </w:r>
    </w:p>
    <w:p>
      <w:pPr>
        <w:pStyle w:val="cn"/>
        <w:jc w:val="center"/>
      </w:pPr>
      <w:r>
        <w:t>作者:Joe Crowley;Marco A Espinosa-Vega;Elizabeth Holmquist;Ken Lamar;Emmanuel Manolikakis;James McAndrews;Holt Williamson</w:t>
      </w:r>
    </w:p>
    <w:p>
      <w:pPr>
        <w:pStyle w:val="cn"/>
        <w:ind w:firstLine="420"/>
        <w:jc w:val="left"/>
      </w:pPr>
      <w:r>
        <w:t>传统银行业之外的金融风险可能迅速蔓延到整个金融系统，并导致实体经济的混乱。缺乏足够详细的金融部门统计数据可能会掩盖决策者积累的风险，并阻碍他们在这些风险发生后有效应对的能力。作为回应，世界各地的权威机构、包括国际货币基金组织在内的国际组织和20国集团（G-20）呼吁进行金融改革，并努力收集非银行金融中介（NBFI）活动的信息，包括数据差距倡议（DGI）和加强金融稳定委员会（FSB）的NBFI数据收集。尽管这些举措代表着加强国家金融机构数据收集的重大进展，但金融和宏观经济统计手册中的概念和方法指导仍存在差距，金融服务委员会、国家统计局和国家当局所依赖的这些手册；随着全球化的加剧和金融部门的数字化，差距不断扩大。本文提出了概念指导，以帮助弥合现有和正在出现的差距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https://www.imf.org/en/Publications/WP/Issues/2022/10/28/Financial-Innovation-and-Statistical-Methodological-Guidance-Key-Considerations-525062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mf.org/en/Publications/WP/Issues/2022/10/28/Financial-Innovation-and-Statistical-Methodological-Guidance-Key-Considerations-5250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