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韩国的生产力和产品市场——来自先进经济体的证据</w:t>
      </w:r>
    </w:p>
    <w:p>
      <w:pPr>
        <w:pStyle w:val="cn"/>
        <w:jc w:val="center"/>
      </w:pPr>
      <w:r>
        <w:t>作者:Andrew J Swiston;Stella Tam</w:t>
      </w:r>
    </w:p>
    <w:p>
      <w:pPr>
        <w:pStyle w:val="cn"/>
        <w:ind w:firstLine="420"/>
        <w:jc w:val="left"/>
      </w:pPr>
      <w:r>
        <w:t>本文构建了发达经济体生产率的行业级数据集，显示韩国的劳动生产率和全要素生产率水平低于其他发达经济体的中位数。我们发现韩国在全球前沿，尤其是在面向市场的服务领域，存在着相当大的行业级生产力差距。使用经合组织的产品市场监管（PMR）指标，我们表明，更严格的PMR减缓了行业水平的生产率增长，这些影响发生在PMR国家控制的所有领域、创业障碍、贸易和投资障碍以及几个详细指标中。这些影响通过受到监管的行业的较高产品价格和单位劳动力成本传递。这些结果证实了韩国通过PMR改革，特别是通过降低服务和网络部门的壁垒、减少贸易和投资限制以及评估政府参与经济的范围，提高整体生产力和增长的潜力。</w:t>
      </w:r>
    </w:p>
    <w:p/>
    <w:p>
      <w:pPr>
        <w:pStyle w:val="cn"/>
        <w:jc w:val="left"/>
      </w:pPr>
      <w:r>
        <w:rPr>
          <w:b/>
        </w:rPr>
        <w:t>原文链接:</w:t>
        <w:br/>
      </w:r>
      <w:hyperlink r:id="rId9">
        <w:r>
          <w:rPr>
            <w:color w:val="0000FF"/>
            <w:u w:val="single"/>
          </w:rPr>
          <w:t>https://www.imf.org/en/Publications/WP/Issues/2022/10/28/Productivity-and-Product-Markets-in-Korea-Evidence-from-Advanced-Economies-525056</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imf.org/en/Publications/WP/Issues/2022/10/28/Productivity-and-Product-Markets-in-Korea-Evidence-from-Advanced-Economies-5250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