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WAEMU的季度预测模型</w:t>
      </w:r>
    </w:p>
    <w:p>
      <w:pPr>
        <w:pStyle w:val="cn"/>
        <w:jc w:val="center"/>
      </w:pPr>
      <w:r>
        <w:t>作者:Carlos de Resende;Alsim Fall;Demba Sy</w:t>
      </w:r>
    </w:p>
    <w:p>
      <w:pPr>
        <w:pStyle w:val="cn"/>
        <w:ind w:firstLine="420"/>
        <w:jc w:val="left"/>
      </w:pPr>
      <w:r>
        <w:t>本研究描述了西非经货联盟区域的半结构新凯恩斯季度预测模型（QPM）。在固定汇率制度和相对严格的资本管制的背景下，西非经货联盟货币联盟中央银行（中央银行）可以对国内货币市场和利率产生一定影响。我们调整了新凯恩斯半结构性季度预测模型（QPM）的规范版本，以捕捉这一特征以及BCEAO货币政策框架的其他方面，包括隐性外汇储备目标。该模型是参数化的，混合了校准和贝叶斯估计技术，显示了主要变量对各种冲击的动态特性，与理论先验和经验证据一致。与标准变异数产生的预测相比，考虑到新冠肺炎大流行的中期预测产生了合理的结果。使用该模型生成的人工数据计算的矩与数据中观察到的矩非常匹配。总的来说，该模型显示了理想的分析特性和合理的数据匹配和预测能力，因此，欧洲央行可以使用该模型来识别相关冲击，将其传播到西非经货联盟区域经济中，并更好地支持其货币政策决策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https://www.imf.org/en/Publications/WP/Issues/2022/10/29/A-Quarterly-Projection-Model-for-the-WAEMU-525213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9/A-Quarterly-Projection-Model-for-the-WAEMU-525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