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不利城市地区的影响投资</w:t>
      </w:r>
    </w:p>
    <w:p>
      <w:pPr>
        <w:pStyle w:val="cn"/>
        <w:jc w:val="center"/>
      </w:pPr>
      <w:r>
        <w:t>作者:Romain Boulongne, Rodolphe Durand, Caroline Flammer</w:t>
      </w:r>
    </w:p>
    <w:p>
      <w:pPr>
        <w:pStyle w:val="cn"/>
        <w:ind w:firstLine="420"/>
        <w:jc w:val="left"/>
      </w:pPr>
      <w:r>
        <w:t>我们研究了当投资对象为处于不利地位的城市地区的企业时，与投资对象为这些地区以外的企业时相比，影响投资是否更有效地促进商业风险的成功和社会影响。我们在向法国“郊区”与“非郊区”的商业企业发放贷款的背景下探讨了这个问题。我们发现，向郊区企业发放的贷款在财务绩效方面产生了更大的改善，并在创造当地就业机会、高质量工作和性别平等工作方面产生了更多的社会影响。这些结果表明，影响力投资者能够与郊区更具未实现潜力的企业签订合同，因为在传统贷款市场上，郊区企业往往受到歧视。这一点在一个受控实验室实验中得到了证实，在该实验中，参与者——被要求担任贷款官员的工作专业人员——被随机分配到相同的商业企业，但他们的地理位置不同。我们发现，与非郊区企业相比，参与者确实不太可能向郊区企业发放贷款，尽管这些企业是相同的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https://www.nber.org/papers/w30551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