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了解美元的强势</w:t>
      </w:r>
    </w:p>
    <w:p>
      <w:pPr>
        <w:pStyle w:val="cn"/>
        <w:jc w:val="center"/>
      </w:pPr>
      <w:r>
        <w:t>作者:Zhengyang Jiang, Robert J. Richmond, Tony Zhang</w:t>
      </w:r>
    </w:p>
    <w:p>
      <w:pPr>
        <w:pStyle w:val="cn"/>
        <w:ind w:firstLine="420"/>
        <w:jc w:val="left"/>
      </w:pPr>
      <w:r>
        <w:t>我们将2011年至2019年美国的持续升值与原始经济因素驱动的国际资本流动联系起来。我们表明，外国投资者净储蓄的增加、美国货币政策利率相对于世界其他地区的增加以及投资者对美国金融资产需求的变化对美元升值的贡献大致相同。然后，我们量化了美国资产未来潜在需求变化对美元价值的影响。</w:t>
      </w:r>
    </w:p>
    <w:p/>
    <w:p>
      <w:pPr>
        <w:pStyle w:val="cn"/>
        <w:jc w:val="left"/>
      </w:pPr>
      <w:r>
        <w:rPr>
          <w:b/>
        </w:rPr>
        <w:t>原文链接:</w:t>
        <w:br/>
      </w:r>
      <w:hyperlink r:id="rId9">
        <w:r>
          <w:rPr>
            <w:color w:val="0000FF"/>
            <w:u w:val="single"/>
          </w:rPr>
          <w:t>https://www.nber.org/papers/w30558</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