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住房财富与消费——异质信贷约束的作用</w:t>
      </w:r>
    </w:p>
    <w:p>
      <w:pPr>
        <w:pStyle w:val="cn"/>
        <w:jc w:val="center"/>
      </w:pPr>
      <w:r>
        <w:t>作者:S. Borağan Aruoba, Ronel Elul, Ṣebnem Kalemli-Özcan</w:t>
      </w:r>
    </w:p>
    <w:p>
      <w:pPr>
        <w:pStyle w:val="cn"/>
        <w:ind w:firstLine="420"/>
        <w:jc w:val="left"/>
      </w:pPr>
      <w:r>
        <w:t>我们量化了家庭财务约束的异质性在解释2006年至2009年消费大幅下降中的作用。使用家庭层面的数据，我们表明，除了房价变化的直接影响外，还存在来自一般均衡反馈和银行健康的相当大的间接影响。大约60%的消费对房价变化的总体反应是由事前和事后的财务约束所解释的，因为只有一组特定的家庭因房价下降而面临着具有约束力的事后财务约束。一旦我们考虑到异质性金融约束的作用，我们发现财富效应可以忽略不计。</w:t>
      </w:r>
    </w:p>
    <w:p/>
    <w:p>
      <w:pPr>
        <w:pStyle w:val="cn"/>
        <w:jc w:val="left"/>
      </w:pPr>
      <w:r>
        <w:rPr>
          <w:b/>
        </w:rPr>
        <w:t>原文链接:</w:t>
        <w:br/>
      </w:r>
      <w:hyperlink r:id="rId9">
        <w:r>
          <w:rPr>
            <w:color w:val="0000FF"/>
            <w:u w:val="single"/>
          </w:rPr>
          <w:t>https://www.nber.org/papers/w30591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