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全球知识与贸易流动理论与计量</w:t>
      </w:r>
    </w:p>
    <w:p>
      <w:pPr>
        <w:pStyle w:val="cn"/>
        <w:jc w:val="center"/>
      </w:pPr>
      <w:r>
        <w:t>作者:Nelson Lind, Natalia Ramondo</w:t>
      </w:r>
    </w:p>
    <w:p>
      <w:pPr>
        <w:pStyle w:val="cn"/>
        <w:ind w:firstLine="420"/>
        <w:jc w:val="left"/>
      </w:pPr>
      <w:r>
        <w:t>我们通过在Eaton和Kortum（1999）（EK）的模型中引入贸易来研究全球创新和思想传播。这一扩展使我们能够利用国际贸易流量和国家层面的要素成本来估计一段时间内国家内部的创新强度和国家间的扩散率。我们在全球范围内发现了显著的专业化：一些国家的创新率很高，而其他国家则依赖扩散。尽管创新与经济增长相关，但有许多高收入国家主要使用分散的思想进行生产。此外，随着时间的推移，这些模式发生了变化——我们估计，2000年代初，中国开始了一股创新浪潮，减少了对扩散技术的依赖。</w:t>
      </w:r>
    </w:p>
    <w:p/>
    <w:p>
      <w:pPr>
        <w:pStyle w:val="cn"/>
        <w:jc w:val="left"/>
      </w:pPr>
      <w:r>
        <w:rPr>
          <w:b/>
        </w:rPr>
        <w:t>原文链接:</w:t>
        <w:br/>
      </w:r>
      <w:hyperlink r:id="rId9">
        <w:r>
          <w:rPr>
            <w:color w:val="0000FF"/>
            <w:u w:val="single"/>
          </w:rPr>
          <w:t>https://www.nber.org/papers/w30590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