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全球经济力量的未来</w:t>
      </w:r>
    </w:p>
    <w:p>
      <w:pPr>
        <w:pStyle w:val="cn"/>
        <w:jc w:val="center"/>
      </w:pPr>
      <w:r>
        <w:t>作者:Seth G. Benzell, Laurence J. Kotlikoff, Maria Kazakova, Guillermo LaGarda, Kristina Nesterova, Victor Yifan Ye, Andrey Zubarev</w:t>
      </w:r>
    </w:p>
    <w:p>
      <w:pPr>
        <w:pStyle w:val="cn"/>
        <w:ind w:firstLine="420"/>
        <w:jc w:val="left"/>
      </w:pPr>
      <w:r>
        <w:t>哪个地区将主导世界经济？本文开发了全球盖达尔模型（GGM），这是一个17个地区、2个技能、100个周期的OLG模型，以解决这一问题和其他问题。该模型根据2017年联合国人口统计和IMF财政数据进行了仔细校准。生产力增长及其与人口变化的相互作用是未来经济力量的主要驱动力。财政状况和自动化问题是次要因素。我们的基线模拟使用每个地区的长期记录来预测生产率增长，预测中国和印度将成为世界前两大经济霸主。GGM还预测，全球储蓄过剩将不断加剧，世界利率将大幅降低，中国和其他地区的税率将因人口老龄化而大幅提高，以及地区生活水平的永久性差异。然而，我们的发现对生产率增长高度敏感。如果每个地区的生产率都以最近的速度增长，印度将占2100年世界产出的三分之一，中国将占五分之一以上。美国的产出份额将略有增长。在其他情况下，中国和印度的生产率增长大幅放缓；撒哈拉以南非洲地区的产量猛增，使中国和印度的2100个产量份额仅为16%，而非洲则达到了惊人的17%。</w:t>
      </w:r>
    </w:p>
    <w:p/>
    <w:p>
      <w:pPr>
        <w:pStyle w:val="cn"/>
        <w:jc w:val="left"/>
      </w:pPr>
      <w:r>
        <w:rPr>
          <w:b/>
        </w:rPr>
        <w:t>原文链接:</w:t>
        <w:br/>
      </w:r>
      <w:hyperlink r:id="rId9">
        <w:r>
          <w:rPr>
            <w:color w:val="0000FF"/>
            <w:u w:val="single"/>
          </w:rPr>
          <w:t>https://www.nber.org/papers/w30556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