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全球资金流动与新兴市场尾部风险</w:t>
      </w:r>
    </w:p>
    <w:p>
      <w:pPr>
        <w:pStyle w:val="cn"/>
        <w:jc w:val="center"/>
      </w:pPr>
      <w:r>
        <w:t>作者:Anusha Chari, Karlye Dilts Stedman, Christian Lundblad</w:t>
      </w:r>
    </w:p>
    <w:p>
      <w:pPr>
        <w:pStyle w:val="cn"/>
        <w:ind w:firstLine="420"/>
        <w:jc w:val="left"/>
      </w:pPr>
      <w:r>
        <w:t>全球风险和避险冲击对新兴市场资本流动和回报具有明显的分配影响。特别是，我们发现这些不同的全球冲击对新兴市场尾部风险的显著影响。开放式共同基金交易提供了一种关键机制，将全球投资者面临的冲击与极端资本流动和回报实现联系起来。不同资产类别和基金类型的影响是不同的。与基准挂钩的被动基金投资的有限自由裁量权和更高的一致性放大了传递效应，导致新兴市场流动和回报的异常协同运动。</w:t>
      </w:r>
    </w:p>
    <w:p/>
    <w:p>
      <w:pPr>
        <w:pStyle w:val="cn"/>
        <w:jc w:val="left"/>
      </w:pPr>
      <w:r>
        <w:rPr>
          <w:b/>
        </w:rPr>
        <w:t>原文链接:</w:t>
        <w:br/>
      </w:r>
      <w:hyperlink r:id="rId9">
        <w:r>
          <w:rPr>
            <w:color w:val="0000FF"/>
            <w:u w:val="single"/>
          </w:rPr>
          <w:t>https://www.nber.org/papers/w30577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