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全球通用基本技能当前的赤字及其对世界发展的影响</w:t>
      </w:r>
    </w:p>
    <w:p>
      <w:pPr>
        <w:pStyle w:val="cn"/>
        <w:jc w:val="center"/>
      </w:pPr>
      <w:r>
        <w:t>作者:Sarah Gust, Eric A. Hanushek, Ludger Woessmann</w:t>
      </w:r>
    </w:p>
    <w:p>
      <w:pPr>
        <w:pStyle w:val="cn"/>
        <w:ind w:firstLine="420"/>
        <w:jc w:val="left"/>
      </w:pPr>
      <w:r>
        <w:t>世界离确保每个孩子获得国际竞争力所需的基本技能还有多远？实现这一目标对世界发展意味着什么？基于国际和地区成绩测试的微观数据，我们将成绩映射到一个通用（PISA）尺度上。然后，我们估计了159个国家未达到基本技能的儿童比例，这些国家占世界人口的98.1%，占世界GDP的99.4%。我们发现，世界上至少有三分之二的年轻人没有达到基本技能水平，从北美的24%到南亚的89%和撒哈拉以南非洲的94%不等。我们的经济分析表明，在剩下的一个世纪里，由于未能实现全球普及基本技能的目标，世界经济产出损失的现值超过700万亿美元，即折现GDP的11%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https://www.nber.org/papers/w30566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