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分段套利</w:t>
      </w:r>
    </w:p>
    <w:p>
      <w:pPr>
        <w:pStyle w:val="cn"/>
        <w:jc w:val="center"/>
      </w:pPr>
      <w:r>
        <w:t>作者:Emil Siriwardane, Adi Sunderam, Jonathan L. Wallen</w:t>
      </w:r>
    </w:p>
    <w:p>
      <w:pPr>
        <w:pStyle w:val="cn"/>
        <w:ind w:firstLine="420"/>
        <w:jc w:val="left"/>
      </w:pPr>
      <w:r>
        <w:t>我们利用股票、固定收益和外汇市场的套利活动来描述中介机构面临的摩擦和约束。我们研究的29个套利利差之间的平均成对相关性为21%。这些低相关性与规范的中介资产定价模型不一致。我们表明，至少有两种类型的细分驱动套利动态。首先，资金被分割，某些交易依赖于特定的资金来源，使其套利利差对局部资金冲击敏感。其次，资产负债表是细分的中介机构，专门从事某些交易，因此套利利差对资产负债表的特殊冲击很敏感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