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在动态有效的经济中永远运行初级赤字的可行性和最佳性</w:t>
      </w:r>
    </w:p>
    <w:p>
      <w:pPr>
        <w:pStyle w:val="cn"/>
        <w:jc w:val="center"/>
      </w:pPr>
      <w:r>
        <w:t>作者:Andrew B. Abel, Stavros Panageas</w:t>
      </w:r>
    </w:p>
    <w:p>
      <w:pPr>
        <w:pStyle w:val="cn"/>
        <w:ind w:firstLine="420"/>
        <w:jc w:val="left"/>
      </w:pPr>
      <w:r>
        <w:t>在一些随机经济体中，包括一些动态有效的经济体，政府债务可以在没有基本盈余的情况下永远展期。在劳动力增长率g不变、生产率提高、资本耐久性受到冲击的重叠世代模型中，我们表明，沿着均衡增长路径，当无风险利率r[sub]f等于g时，债券与资本的最大可持续比率达到。此外，这个最大比率沿着均衡的增长路径使人均效用最大化，并确保经济动态高效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https://www.nber.org/papers/w30554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