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大流行期间的不平等和社会疏远</w:t>
      </w:r>
    </w:p>
    <w:p>
      <w:pPr>
        <w:pStyle w:val="cn"/>
        <w:jc w:val="center"/>
      </w:pPr>
      <w:r>
        <w:t>作者:Caitlin S. Brown, Martin Ravallion</w:t>
      </w:r>
    </w:p>
    <w:p>
      <w:pPr>
        <w:pStyle w:val="cn"/>
        <w:ind w:firstLine="420"/>
        <w:jc w:val="left"/>
      </w:pPr>
      <w:r>
        <w:t>我们研究了新冠肺炎大流行期间，美国大流行前的不平等如何影响社会距离。较富裕的县往往在最初（药物前）阶段看到更多的保护性流动反应，但后来保护性反应较少。这种收入效应的近似线性意味着，县与县之间的不平等对整体流动性减少的贡献很小。相比之下，县内不平等和/或贫困程度越高，在给定的平均收入下，非居民流动性受到的影响就越大。该县的种族和年龄构成也有显著影响。接触率的标准流行病学协变量也与社会经济因素相关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https://www.nber.org/papers/w30540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