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微观传播与宏观聚集</w:t>
      </w:r>
    </w:p>
    <w:p>
      <w:pPr>
        <w:pStyle w:val="cn"/>
        <w:jc w:val="center"/>
      </w:pPr>
      <w:r>
        <w:t>作者:David Baqaee, Elisa Rubbo</w:t>
      </w:r>
    </w:p>
    <w:p>
      <w:pPr>
        <w:pStyle w:val="cn"/>
        <w:ind w:firstLine="420"/>
        <w:jc w:val="left"/>
      </w:pPr>
      <w:r>
        <w:t>本文回顾了研究一般均衡下微观经济冲击的聚集和传播的框架。我们讨论了实际经济活动的总体衡量指标的决定因素，如实际GDP、实际国内吸收和有效和无效环境下的总体生产率。我们还讨论了一组生产者的冲击如何通过价格和数量传递给其他生产者。我们提供的框架易于概括，可以用于研究任何生产者集合，从一个孤立的生产者到由异质生产者组成的行业，再到整个经济体。最后，我们对一些应用问题进行了简要调查，这些问题可以使用本综述中介绍的分析工具解决，并为未来的工作提供了途径。</w:t>
      </w:r>
    </w:p>
    <w:p/>
    <w:p>
      <w:pPr>
        <w:pStyle w:val="cn"/>
        <w:jc w:val="left"/>
      </w:pPr>
      <w:r>
        <w:rPr>
          <w:b/>
        </w:rPr>
        <w:t>原文链接:</w:t>
        <w:br/>
      </w:r>
      <w:hyperlink r:id="rId9">
        <w:r>
          <w:rPr>
            <w:color w:val="0000FF"/>
            <w:u w:val="single"/>
          </w:rPr>
          <w:t>https://www.nber.org/papers/w30538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