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政策性报废的外部性——以汽车法规为例</w:t>
      </w:r>
    </w:p>
    <w:p>
      <w:pPr>
        <w:pStyle w:val="cn"/>
        <w:jc w:val="center"/>
      </w:pPr>
      <w:r>
        <w:t>作者:Connor R. Forsythe, Akshaya Jha, Jeremy J. Michalek, Kate S. Whitefoot</w:t>
      </w:r>
    </w:p>
    <w:p>
      <w:pPr>
        <w:pStyle w:val="cn"/>
        <w:ind w:firstLine="420"/>
        <w:jc w:val="left"/>
      </w:pPr>
      <w:r>
        <w:t>许多交通政策通过诱导车辆报废率的变化间接影响车辆出行和由此产生的外部性。我们在工具变量（IV）框架内，利用美国各州级安全检查计划的交错取消，对车队出行距离和汽油消耗的车队规模弹性进行了初步估计。我们的第一阶段估计表明，取消安全检查导致车队规模平均增加3-4%。我们对车队行驶距离和汽油消耗量的车队规模弹性的IV估计具有95%的置信集，这意味着拒绝了先前分析中常用的假设，即这些弹性等于1。基于车队规模弹性的计算结果是，由于取消了安全检查而导致报废延迟，导致出行和燃料使用增加，从而导致外部成本大幅高估。</w:t>
      </w:r>
    </w:p>
    <w:p/>
    <w:p>
      <w:pPr>
        <w:pStyle w:val="cn"/>
        <w:jc w:val="left"/>
      </w:pPr>
      <w:r>
        <w:rPr>
          <w:b/>
        </w:rPr>
        <w:t>原文链接:</w:t>
        <w:br/>
      </w:r>
      <w:hyperlink r:id="rId9">
        <w:r>
          <w:rPr>
            <w:color w:val="0000FF"/>
            <w:u w:val="single"/>
          </w:rPr>
          <w:t>https://www.nber.org/papers/w30546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